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76258E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рием документов для прохождения </w:t>
      </w:r>
      <w:proofErr w:type="spellStart"/>
      <w:r w:rsidR="004B273C"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 w:rsidR="004B273C"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5C4033" w:rsidRDefault="00AF5D1C" w:rsidP="00BD5B9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При отправке</w:t>
      </w:r>
      <w:r w:rsidR="00CD6CB5">
        <w:rPr>
          <w:rFonts w:ascii="Arial" w:hAnsi="Arial" w:cs="Arial"/>
          <w:sz w:val="28"/>
          <w:szCs w:val="28"/>
        </w:rPr>
        <w:t xml:space="preserve"> документов в электронном виде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 w:rsidR="006D62E2"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="006D62E2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в день отправки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</w:t>
      </w:r>
      <w:r w:rsidR="005C4033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 адрес секретаря Тендерного совета «Secretary.CPCTenderBoard@cpcpipe.ru», а также в копию: </w:t>
      </w:r>
      <w:r w:rsidR="005C4033" w:rsidRPr="00066063">
        <w:rPr>
          <w:rFonts w:ascii="Arial" w:hAnsi="Arial" w:cs="Arial"/>
          <w:color w:val="FF0000"/>
          <w:sz w:val="28"/>
          <w:szCs w:val="28"/>
          <w:u w:val="single"/>
        </w:rPr>
        <w:t xml:space="preserve">Tatyana.Shlykova@cpcpipe.ru, Dmitry.Dimitriev@cpcpipe.ru, </w:t>
      </w:r>
      <w:hyperlink r:id="rId8" w:history="1">
        <w:r w:rsidR="005C4033" w:rsidRPr="005C4033">
          <w:rPr>
            <w:rFonts w:ascii="Arial" w:hAnsi="Arial" w:cs="Arial"/>
            <w:color w:val="FF0000"/>
            <w:sz w:val="28"/>
            <w:szCs w:val="28"/>
            <w:u w:val="single"/>
          </w:rPr>
          <w:t>Alexander.Barashkin@cpcpipe.ru</w:t>
        </w:r>
      </w:hyperlink>
    </w:p>
    <w:p w:rsidR="005C4033" w:rsidRDefault="005C4033" w:rsidP="00BD5B9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 </w:t>
      </w:r>
      <w:r w:rsidR="00CD6CB5">
        <w:rPr>
          <w:rFonts w:ascii="Arial" w:hAnsi="Arial" w:cs="Arial"/>
          <w:sz w:val="28"/>
          <w:szCs w:val="28"/>
        </w:rPr>
        <w:t>поступления электронной версии документов на почту АО «КТК-Р»</w:t>
      </w:r>
      <w:r>
        <w:rPr>
          <w:rFonts w:ascii="Arial" w:hAnsi="Arial" w:cs="Arial"/>
          <w:sz w:val="28"/>
          <w:szCs w:val="28"/>
        </w:rPr>
        <w:t xml:space="preserve">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</w:t>
      </w:r>
      <w:r w:rsidRPr="00CF7E96">
        <w:rPr>
          <w:rFonts w:ascii="Arial" w:hAnsi="Arial" w:cs="Arial"/>
          <w:sz w:val="28"/>
          <w:szCs w:val="28"/>
        </w:rPr>
        <w:t xml:space="preserve">необходимо </w:t>
      </w:r>
      <w:r w:rsidR="00CF7E96" w:rsidRPr="00CF7E96">
        <w:rPr>
          <w:rFonts w:ascii="Arial" w:hAnsi="Arial" w:cs="Arial"/>
          <w:sz w:val="28"/>
          <w:szCs w:val="28"/>
        </w:rPr>
        <w:t xml:space="preserve">направить </w:t>
      </w:r>
      <w:r w:rsidRPr="00CF7E96">
        <w:rPr>
          <w:rFonts w:ascii="Arial" w:hAnsi="Arial" w:cs="Arial"/>
          <w:sz w:val="28"/>
          <w:szCs w:val="28"/>
        </w:rPr>
        <w:t>с сопроводительным письмом.</w:t>
      </w:r>
      <w:r>
        <w:rPr>
          <w:rFonts w:ascii="Arial" w:hAnsi="Arial" w:cs="Arial"/>
          <w:sz w:val="28"/>
          <w:szCs w:val="28"/>
        </w:rPr>
        <w:t xml:space="preserve">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3C73DA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ListParagraph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lastRenderedPageBreak/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ListParagraph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ListParagraph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ListParagraph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ListParagraph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ListParagraph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ListParagraph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</w:t>
      </w:r>
      <w:r w:rsidR="00AE0640" w:rsidRPr="003C73DA">
        <w:rPr>
          <w:rFonts w:ascii="Arial" w:hAnsi="Arial" w:cs="Arial"/>
          <w:sz w:val="28"/>
          <w:szCs w:val="28"/>
        </w:rPr>
        <w:lastRenderedPageBreak/>
        <w:t xml:space="preserve">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Hyperlink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Hyperlink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Hyperlink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Hyperlink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Hyperlink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ListParagraph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ListParagraph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</w:t>
            </w:r>
            <w:r w:rsidR="00714D6F">
              <w:rPr>
                <w:rFonts w:ascii="Arial" w:hAnsi="Arial" w:cs="Arial"/>
                <w:sz w:val="28"/>
                <w:szCs w:val="28"/>
              </w:rPr>
              <w:t>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Pr="001F62B9" w:rsidRDefault="00E36BE9" w:rsidP="001F62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F62B9">
        <w:rPr>
          <w:rFonts w:ascii="Arial" w:hAnsi="Arial" w:cs="Arial"/>
          <w:sz w:val="28"/>
          <w:szCs w:val="28"/>
        </w:rPr>
        <w:t xml:space="preserve">Анкета А-1 «Анкета для Подрядчиков», формат А-4, </w:t>
      </w:r>
      <w:r w:rsidR="004A2DAF" w:rsidRPr="001F62B9">
        <w:rPr>
          <w:rFonts w:ascii="Arial" w:hAnsi="Arial" w:cs="Arial"/>
          <w:sz w:val="28"/>
          <w:szCs w:val="28"/>
        </w:rPr>
        <w:t>___________</w:t>
      </w:r>
      <w:r w:rsidRPr="001F62B9">
        <w:rPr>
          <w:rFonts w:ascii="Arial" w:hAnsi="Arial" w:cs="Arial"/>
          <w:sz w:val="28"/>
          <w:szCs w:val="28"/>
        </w:rPr>
        <w:t xml:space="preserve">л. </w:t>
      </w:r>
    </w:p>
    <w:p w:rsidR="001F62B9" w:rsidRPr="001F62B9" w:rsidRDefault="001F62B9" w:rsidP="001F62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Перечень документов (опись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>)</w:t>
      </w:r>
    </w:p>
    <w:p w:rsidR="0075039F" w:rsidRPr="00A43B3A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9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B9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065C"/>
    <w:multiLevelType w:val="hybridMultilevel"/>
    <w:tmpl w:val="248C9A8E"/>
    <w:lvl w:ilvl="0" w:tplc="AFC6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0A3C"/>
    <w:rsid w:val="00126865"/>
    <w:rsid w:val="0016147B"/>
    <w:rsid w:val="00167310"/>
    <w:rsid w:val="00171C43"/>
    <w:rsid w:val="00180E3B"/>
    <w:rsid w:val="00182A49"/>
    <w:rsid w:val="001C21FC"/>
    <w:rsid w:val="001D2806"/>
    <w:rsid w:val="001F62B9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A2DAF"/>
    <w:rsid w:val="004B273C"/>
    <w:rsid w:val="004B3DE8"/>
    <w:rsid w:val="004D3309"/>
    <w:rsid w:val="00524EA7"/>
    <w:rsid w:val="00553ABC"/>
    <w:rsid w:val="005576F5"/>
    <w:rsid w:val="00557FE1"/>
    <w:rsid w:val="005B5F78"/>
    <w:rsid w:val="005C4033"/>
    <w:rsid w:val="005C61E5"/>
    <w:rsid w:val="005C7D9E"/>
    <w:rsid w:val="005D382D"/>
    <w:rsid w:val="005D38D3"/>
    <w:rsid w:val="005E65C2"/>
    <w:rsid w:val="005F4634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14D6F"/>
    <w:rsid w:val="007428B6"/>
    <w:rsid w:val="0075039F"/>
    <w:rsid w:val="0076258E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AF5D1C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26C80"/>
    <w:rsid w:val="00C76521"/>
    <w:rsid w:val="00C854B5"/>
    <w:rsid w:val="00C90A47"/>
    <w:rsid w:val="00CC32F8"/>
    <w:rsid w:val="00CD6CB5"/>
    <w:rsid w:val="00CF7B03"/>
    <w:rsid w:val="00CF7E96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B51B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1">
    <w:name w:val="lbl1"/>
    <w:basedOn w:val="DefaultParagraphFont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2D"/>
  </w:style>
  <w:style w:type="paragraph" w:styleId="Footer">
    <w:name w:val="footer"/>
    <w:basedOn w:val="Normal"/>
    <w:link w:val="FooterChar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2D"/>
  </w:style>
  <w:style w:type="character" w:styleId="Hyperlink">
    <w:name w:val="Hyperlink"/>
    <w:basedOn w:val="DefaultParagraphFont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D20F7"/>
  </w:style>
  <w:style w:type="character" w:customStyle="1" w:styleId="hps">
    <w:name w:val="hps"/>
    <w:basedOn w:val="DefaultParagraphFont"/>
    <w:rsid w:val="002D20F7"/>
  </w:style>
  <w:style w:type="paragraph" w:styleId="ListParagraph">
    <w:name w:val="List Paragraph"/>
    <w:basedOn w:val="Normal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624AB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Barashkin@cpcpipe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3BFA3-69CB-474E-B5F8-554EE56C7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8B94C-0EC5-4E0C-8410-A23027E52BD0}"/>
</file>

<file path=customXml/itemProps3.xml><?xml version="1.0" encoding="utf-8"?>
<ds:datastoreItem xmlns:ds="http://schemas.openxmlformats.org/officeDocument/2006/customXml" ds:itemID="{9DBC0856-1031-4EB1-99BA-306171A65714}"/>
</file>

<file path=customXml/itemProps4.xml><?xml version="1.0" encoding="utf-8"?>
<ds:datastoreItem xmlns:ds="http://schemas.openxmlformats.org/officeDocument/2006/customXml" ds:itemID="{4CC1C1A0-9132-437F-A39A-FA05C9413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shly0322</cp:lastModifiedBy>
  <cp:revision>14</cp:revision>
  <dcterms:created xsi:type="dcterms:W3CDTF">2020-11-20T13:48:00Z</dcterms:created>
  <dcterms:modified xsi:type="dcterms:W3CDTF">2022-06-30T13:03:00Z</dcterms:modified>
</cp:coreProperties>
</file>